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36" w:rsidRDefault="00BB1336" w:rsidP="00365A16">
      <w:pPr>
        <w:spacing w:after="120"/>
        <w:rPr>
          <w:b/>
          <w:sz w:val="28"/>
          <w:szCs w:val="28"/>
        </w:rPr>
      </w:pPr>
      <w:r>
        <w:rPr>
          <w:b/>
          <w:sz w:val="28"/>
          <w:szCs w:val="28"/>
        </w:rPr>
        <w:t xml:space="preserve">Treasurer’s Report – </w:t>
      </w:r>
      <w:r w:rsidR="00F07A36">
        <w:rPr>
          <w:b/>
          <w:sz w:val="28"/>
          <w:szCs w:val="28"/>
        </w:rPr>
        <w:t>For PCC via Standing Committee</w:t>
      </w:r>
    </w:p>
    <w:p w:rsidR="00F07A36" w:rsidRDefault="00F07A36" w:rsidP="00365A16">
      <w:pPr>
        <w:spacing w:after="120"/>
        <w:rPr>
          <w:b/>
          <w:sz w:val="28"/>
          <w:szCs w:val="28"/>
        </w:rPr>
      </w:pPr>
      <w:r>
        <w:rPr>
          <w:b/>
          <w:sz w:val="28"/>
          <w:szCs w:val="28"/>
        </w:rPr>
        <w:t xml:space="preserve">Budget monitoring position to date. </w:t>
      </w:r>
    </w:p>
    <w:p w:rsidR="005F2DA0" w:rsidRPr="0046252B" w:rsidRDefault="00F07A36" w:rsidP="00365A16">
      <w:pPr>
        <w:spacing w:after="120"/>
        <w:rPr>
          <w:b/>
          <w:sz w:val="28"/>
          <w:szCs w:val="28"/>
        </w:rPr>
      </w:pPr>
      <w:r>
        <w:rPr>
          <w:b/>
          <w:sz w:val="28"/>
          <w:szCs w:val="28"/>
        </w:rPr>
        <w:t xml:space="preserve">Resources side indicative. </w:t>
      </w:r>
    </w:p>
    <w:p w:rsidR="006F7065" w:rsidRDefault="006F7065" w:rsidP="00365A16">
      <w:pPr>
        <w:spacing w:after="120"/>
      </w:pPr>
    </w:p>
    <w:p w:rsidR="006F7065" w:rsidRPr="0046252B" w:rsidRDefault="006F7065" w:rsidP="00365A16">
      <w:pPr>
        <w:spacing w:after="120"/>
        <w:rPr>
          <w:b/>
        </w:rPr>
      </w:pPr>
      <w:r w:rsidRPr="0046252B">
        <w:rPr>
          <w:b/>
        </w:rPr>
        <w:t>Purpose</w:t>
      </w:r>
    </w:p>
    <w:p w:rsidR="00365A16" w:rsidRDefault="00F07A36" w:rsidP="00365A16">
      <w:pPr>
        <w:spacing w:after="120"/>
      </w:pPr>
      <w:r>
        <w:t xml:space="preserve">At next month’s PCC the budget for 2020 will be considered. As this report is presented I am awaiting returns from budget holders </w:t>
      </w:r>
      <w:r w:rsidR="00D103D4">
        <w:t>to complete the expenditure side together with a small number of general income lines.</w:t>
      </w:r>
    </w:p>
    <w:p w:rsidR="005526FE" w:rsidRDefault="00174323" w:rsidP="00365A16">
      <w:pPr>
        <w:spacing w:after="120"/>
      </w:pPr>
      <w:r>
        <w:t>At this point it will be helpful for Standing Committee to examine the figures we have and the likely giving in the coming year and form a strategy for PCC.</w:t>
      </w:r>
    </w:p>
    <w:p w:rsidR="005526FE" w:rsidRPr="005526FE" w:rsidRDefault="005526FE" w:rsidP="00365A16">
      <w:pPr>
        <w:spacing w:after="120"/>
        <w:rPr>
          <w:b/>
        </w:rPr>
      </w:pPr>
      <w:r w:rsidRPr="005526FE">
        <w:rPr>
          <w:b/>
        </w:rPr>
        <w:t>Giving</w:t>
      </w:r>
    </w:p>
    <w:p w:rsidR="00D23A97" w:rsidRDefault="00D103D4" w:rsidP="00365A16">
      <w:pPr>
        <w:spacing w:after="120"/>
      </w:pPr>
      <w:r>
        <w:t>As I have reported throughout the year giving has (apart from one month) held strong against that expected.</w:t>
      </w:r>
      <w:r w:rsidR="00144C3F">
        <w:t xml:space="preserve"> The latest report </w:t>
      </w:r>
      <w:r w:rsidR="00174323">
        <w:t>is attached which confirms this but it can be seen that giving is highly likely to fall sharply in the remainder of the year.</w:t>
      </w:r>
    </w:p>
    <w:p w:rsidR="00D103D4" w:rsidRDefault="00174323" w:rsidP="00365A16">
      <w:pPr>
        <w:spacing w:after="120"/>
      </w:pPr>
      <w:r>
        <w:t>A</w:t>
      </w:r>
      <w:r w:rsidR="00D23A97">
        <w:t>s we have prepared the</w:t>
      </w:r>
      <w:r>
        <w:t xml:space="preserve"> giving budget for 2020</w:t>
      </w:r>
      <w:r w:rsidR="00D23A97">
        <w:t xml:space="preserve"> a clear reduction</w:t>
      </w:r>
      <w:r>
        <w:t xml:space="preserve"> is confirmed</w:t>
      </w:r>
      <w:r w:rsidR="00D23A97">
        <w:t xml:space="preserve">. We know that a significant number have left the church but the impact on giving has not actually “hit the bank”. </w:t>
      </w:r>
      <w:r w:rsidR="00144C3F">
        <w:t xml:space="preserve"> </w:t>
      </w:r>
      <w:r w:rsidR="00D23A97">
        <w:t>Peter White has helped me to prepare and carefully analyse all giving and, in particular, ensure there has been no double counting as givers have moved from CAP and Youth accounts to mainly PGS</w:t>
      </w:r>
      <w:r w:rsidR="009D4E22">
        <w:t>.</w:t>
      </w:r>
    </w:p>
    <w:p w:rsidR="00EC771A" w:rsidRDefault="00EC771A" w:rsidP="00365A16">
      <w:pPr>
        <w:spacing w:after="120"/>
      </w:pPr>
      <w:r>
        <w:t xml:space="preserve">We are confident that the figures presented are as good as it is possible to estimate at this time of year. </w:t>
      </w:r>
      <w:r w:rsidR="0080053C">
        <w:t xml:space="preserve">Nevertheless </w:t>
      </w:r>
      <w:r w:rsidR="005526FE">
        <w:t>there is clear enough evidence to demonstrate a reduction in giving for 2020.</w:t>
      </w:r>
    </w:p>
    <w:p w:rsidR="005526FE" w:rsidRDefault="005526FE" w:rsidP="00365A16">
      <w:pPr>
        <w:spacing w:after="120"/>
        <w:rPr>
          <w:b/>
        </w:rPr>
      </w:pPr>
    </w:p>
    <w:p w:rsidR="005526FE" w:rsidRDefault="005526FE" w:rsidP="00365A16">
      <w:pPr>
        <w:spacing w:after="120"/>
        <w:rPr>
          <w:b/>
        </w:rPr>
      </w:pPr>
      <w:r>
        <w:rPr>
          <w:b/>
        </w:rPr>
        <w:t>Expenditure</w:t>
      </w:r>
    </w:p>
    <w:p w:rsidR="001E5870" w:rsidRDefault="005526FE" w:rsidP="00365A16">
      <w:pPr>
        <w:spacing w:after="120"/>
      </w:pPr>
      <w:r w:rsidRPr="005526FE">
        <w:t>Whilst</w:t>
      </w:r>
      <w:r>
        <w:t xml:space="preserve"> giving has held well against budget, expenditure is, in a number of areas running below budget. </w:t>
      </w:r>
      <w:r w:rsidR="001E5870">
        <w:t>Until budget returns have been received a firm idea of expenditure for the year is not available but the position to date indicates there is likely to be an undersp</w:t>
      </w:r>
      <w:r w:rsidR="00B93A07">
        <w:t>end in excess of £</w:t>
      </w:r>
      <w:r w:rsidR="00FB16AA">
        <w:t xml:space="preserve">20,000. </w:t>
      </w:r>
      <w:r w:rsidR="001E5870">
        <w:t xml:space="preserve">If budget holders are asked to restrain expenditure on other than essential items I believe an underspend of this order is </w:t>
      </w:r>
      <w:r w:rsidR="00FB16AA">
        <w:t>achievable</w:t>
      </w:r>
      <w:r w:rsidR="001E5870">
        <w:t>.</w:t>
      </w:r>
    </w:p>
    <w:p w:rsidR="001E5870" w:rsidRDefault="001E5870" w:rsidP="00365A16">
      <w:pPr>
        <w:spacing w:after="120"/>
      </w:pPr>
      <w:r>
        <w:t>This will help in cash balance terms but it will also lay down a firmer base for 2020 where a lower spend is necessary.</w:t>
      </w:r>
    </w:p>
    <w:p w:rsidR="005526FE" w:rsidRPr="005526FE" w:rsidRDefault="001E5870" w:rsidP="00365A16">
      <w:pPr>
        <w:spacing w:after="120"/>
      </w:pPr>
      <w:r>
        <w:t xml:space="preserve"> </w:t>
      </w:r>
    </w:p>
    <w:p w:rsidR="005526FE" w:rsidRDefault="005526FE" w:rsidP="00365A16">
      <w:pPr>
        <w:spacing w:after="120"/>
        <w:rPr>
          <w:b/>
        </w:rPr>
      </w:pPr>
      <w:r>
        <w:rPr>
          <w:b/>
        </w:rPr>
        <w:t>Impact on cash position</w:t>
      </w:r>
    </w:p>
    <w:p w:rsidR="005526FE" w:rsidRPr="00001E08" w:rsidRDefault="00001E08" w:rsidP="00365A16">
      <w:pPr>
        <w:spacing w:after="120"/>
      </w:pPr>
      <w:r w:rsidRPr="00001E08">
        <w:t xml:space="preserve">The </w:t>
      </w:r>
      <w:r>
        <w:t xml:space="preserve">cash flow statement below gives a simple and clear picture of </w:t>
      </w:r>
      <w:r w:rsidR="005577B4">
        <w:t>what we should see happening to year end and moving forward.</w:t>
      </w:r>
    </w:p>
    <w:p w:rsidR="007D3441" w:rsidRDefault="007D3441" w:rsidP="00365A16">
      <w:pPr>
        <w:spacing w:after="120"/>
        <w:rPr>
          <w:b/>
        </w:rPr>
      </w:pPr>
    </w:p>
    <w:p w:rsidR="009E4151" w:rsidRDefault="009E4151" w:rsidP="00365A16">
      <w:pPr>
        <w:spacing w:after="120"/>
      </w:pPr>
      <w:r w:rsidRPr="009E4151">
        <w:t xml:space="preserve">This </w:t>
      </w:r>
      <w:r>
        <w:t xml:space="preserve">now takes account of the 2019 budget decisions to donate £10,000 to Old Kea Development and earmark £20,000 for All Hallows development. Cash has </w:t>
      </w:r>
      <w:r>
        <w:lastRenderedPageBreak/>
        <w:t>been transferred in respect of Old Kea but is held in the PCC bank account for All Hallows.</w:t>
      </w:r>
    </w:p>
    <w:p w:rsidR="00B94D59" w:rsidRDefault="00B94D59" w:rsidP="00365A16">
      <w:pPr>
        <w:spacing w:after="120"/>
      </w:pPr>
    </w:p>
    <w:p w:rsidR="00B94D59" w:rsidRDefault="00B94D59" w:rsidP="00365A16">
      <w:pPr>
        <w:spacing w:after="120"/>
      </w:pPr>
      <w:r>
        <w:t>The assumption is that the deficit for 2020 and 2021 remains at £30,000.</w:t>
      </w:r>
      <w:bookmarkStart w:id="0" w:name="_GoBack"/>
      <w:bookmarkEnd w:id="0"/>
    </w:p>
    <w:p w:rsidR="009E4151" w:rsidRPr="009E4151" w:rsidRDefault="009E4151" w:rsidP="00365A16">
      <w:pPr>
        <w:spacing w:after="120"/>
      </w:pPr>
    </w:p>
    <w:tbl>
      <w:tblPr>
        <w:tblStyle w:val="TableGrid"/>
        <w:tblW w:w="0" w:type="auto"/>
        <w:tblLook w:val="04A0"/>
      </w:tblPr>
      <w:tblGrid>
        <w:gridCol w:w="2198"/>
        <w:gridCol w:w="1277"/>
        <w:gridCol w:w="1268"/>
        <w:gridCol w:w="1268"/>
        <w:gridCol w:w="1268"/>
      </w:tblGrid>
      <w:tr w:rsidR="0030601D" w:rsidRPr="00F27F5F" w:rsidTr="00A8402D">
        <w:tc>
          <w:tcPr>
            <w:tcW w:w="2198" w:type="dxa"/>
          </w:tcPr>
          <w:p w:rsidR="0030601D" w:rsidRPr="00F27F5F" w:rsidRDefault="0030601D" w:rsidP="00365A16">
            <w:pPr>
              <w:spacing w:after="120"/>
            </w:pPr>
          </w:p>
        </w:tc>
        <w:tc>
          <w:tcPr>
            <w:tcW w:w="1277" w:type="dxa"/>
          </w:tcPr>
          <w:p w:rsidR="0030601D" w:rsidRDefault="0030601D" w:rsidP="00365A16">
            <w:pPr>
              <w:spacing w:after="120"/>
            </w:pPr>
            <w:r>
              <w:t>2019</w:t>
            </w:r>
          </w:p>
          <w:p w:rsidR="0030601D" w:rsidRPr="00F27F5F" w:rsidRDefault="0030601D" w:rsidP="00365A16">
            <w:pPr>
              <w:spacing w:after="120"/>
            </w:pPr>
            <w:r w:rsidRPr="00F27F5F">
              <w:t>Budget</w:t>
            </w:r>
          </w:p>
        </w:tc>
        <w:tc>
          <w:tcPr>
            <w:tcW w:w="1268" w:type="dxa"/>
          </w:tcPr>
          <w:p w:rsidR="0030601D" w:rsidRPr="00F27F5F" w:rsidRDefault="0030601D" w:rsidP="00365A16">
            <w:pPr>
              <w:spacing w:after="120"/>
            </w:pPr>
            <w:r>
              <w:t xml:space="preserve">2019 </w:t>
            </w:r>
            <w:r w:rsidRPr="00F27F5F">
              <w:t>Outturn</w:t>
            </w:r>
          </w:p>
        </w:tc>
        <w:tc>
          <w:tcPr>
            <w:tcW w:w="1268" w:type="dxa"/>
          </w:tcPr>
          <w:p w:rsidR="0030601D" w:rsidRDefault="0030601D" w:rsidP="00365A16">
            <w:pPr>
              <w:spacing w:after="120"/>
            </w:pPr>
            <w:r>
              <w:t>2020</w:t>
            </w:r>
          </w:p>
          <w:p w:rsidR="0030601D" w:rsidRPr="00F27F5F" w:rsidRDefault="0030601D" w:rsidP="00365A16">
            <w:pPr>
              <w:spacing w:after="120"/>
            </w:pPr>
            <w:r w:rsidRPr="00F27F5F">
              <w:t>Budget</w:t>
            </w:r>
          </w:p>
        </w:tc>
        <w:tc>
          <w:tcPr>
            <w:tcW w:w="1268" w:type="dxa"/>
          </w:tcPr>
          <w:p w:rsidR="0030601D" w:rsidRPr="00F27F5F" w:rsidRDefault="0030601D" w:rsidP="00365A16">
            <w:pPr>
              <w:spacing w:after="120"/>
            </w:pPr>
            <w:r>
              <w:t>2021</w:t>
            </w:r>
          </w:p>
          <w:p w:rsidR="0030601D" w:rsidRPr="00F27F5F" w:rsidRDefault="0030601D" w:rsidP="00365A16">
            <w:pPr>
              <w:spacing w:after="120"/>
            </w:pPr>
            <w:r w:rsidRPr="00F27F5F">
              <w:t>Budget</w:t>
            </w:r>
          </w:p>
        </w:tc>
      </w:tr>
      <w:tr w:rsidR="0030601D" w:rsidRPr="00F27F5F" w:rsidTr="00A8402D">
        <w:tc>
          <w:tcPr>
            <w:tcW w:w="2198" w:type="dxa"/>
          </w:tcPr>
          <w:p w:rsidR="0030601D" w:rsidRPr="00F27F5F" w:rsidRDefault="0030601D" w:rsidP="00365A16">
            <w:pPr>
              <w:spacing w:after="120"/>
            </w:pPr>
          </w:p>
        </w:tc>
        <w:tc>
          <w:tcPr>
            <w:tcW w:w="1277" w:type="dxa"/>
          </w:tcPr>
          <w:p w:rsidR="0030601D" w:rsidRPr="00F27F5F" w:rsidRDefault="0030601D" w:rsidP="00365A16">
            <w:pPr>
              <w:spacing w:after="120"/>
            </w:pPr>
            <w:r w:rsidRPr="00F27F5F">
              <w:t>£</w:t>
            </w:r>
          </w:p>
        </w:tc>
        <w:tc>
          <w:tcPr>
            <w:tcW w:w="1268" w:type="dxa"/>
          </w:tcPr>
          <w:p w:rsidR="0030601D" w:rsidRPr="00F27F5F" w:rsidRDefault="0030601D" w:rsidP="00365A16">
            <w:pPr>
              <w:spacing w:after="120"/>
            </w:pPr>
            <w:r w:rsidRPr="00F27F5F">
              <w:t>£</w:t>
            </w:r>
          </w:p>
        </w:tc>
        <w:tc>
          <w:tcPr>
            <w:tcW w:w="1268" w:type="dxa"/>
          </w:tcPr>
          <w:p w:rsidR="0030601D" w:rsidRPr="00F27F5F" w:rsidRDefault="0030601D" w:rsidP="00365A16">
            <w:pPr>
              <w:spacing w:after="120"/>
            </w:pPr>
            <w:r w:rsidRPr="00F27F5F">
              <w:t>£</w:t>
            </w:r>
          </w:p>
        </w:tc>
        <w:tc>
          <w:tcPr>
            <w:tcW w:w="1268" w:type="dxa"/>
          </w:tcPr>
          <w:p w:rsidR="0030601D" w:rsidRPr="00F27F5F" w:rsidRDefault="0030601D" w:rsidP="00365A16">
            <w:pPr>
              <w:spacing w:after="120"/>
            </w:pPr>
            <w:r w:rsidRPr="00F27F5F">
              <w:t>£</w:t>
            </w:r>
          </w:p>
        </w:tc>
      </w:tr>
      <w:tr w:rsidR="0030601D" w:rsidRPr="00F27F5F" w:rsidTr="00A8402D">
        <w:tc>
          <w:tcPr>
            <w:tcW w:w="2198" w:type="dxa"/>
          </w:tcPr>
          <w:p w:rsidR="0030601D" w:rsidRPr="00F27F5F" w:rsidRDefault="0030601D" w:rsidP="00365A16">
            <w:pPr>
              <w:spacing w:after="120"/>
            </w:pPr>
            <w:r w:rsidRPr="00F27F5F">
              <w:t>Bank Balance - closing</w:t>
            </w:r>
          </w:p>
        </w:tc>
        <w:tc>
          <w:tcPr>
            <w:tcW w:w="1277" w:type="dxa"/>
          </w:tcPr>
          <w:p w:rsidR="0030601D" w:rsidRPr="00F27F5F" w:rsidRDefault="0030601D" w:rsidP="00365A16">
            <w:pPr>
              <w:spacing w:after="120"/>
            </w:pPr>
            <w:r>
              <w:t>108,950</w:t>
            </w:r>
          </w:p>
          <w:p w:rsidR="0030601D" w:rsidRPr="00F27F5F" w:rsidRDefault="0030601D" w:rsidP="00365A16">
            <w:pPr>
              <w:spacing w:after="120"/>
            </w:pPr>
          </w:p>
        </w:tc>
        <w:tc>
          <w:tcPr>
            <w:tcW w:w="1268" w:type="dxa"/>
          </w:tcPr>
          <w:p w:rsidR="0030601D" w:rsidRPr="00F27F5F" w:rsidRDefault="0030601D" w:rsidP="00365A16">
            <w:pPr>
              <w:spacing w:after="120"/>
            </w:pPr>
            <w:r>
              <w:t>122,700</w:t>
            </w:r>
          </w:p>
        </w:tc>
        <w:tc>
          <w:tcPr>
            <w:tcW w:w="1268" w:type="dxa"/>
          </w:tcPr>
          <w:p w:rsidR="0030601D" w:rsidRPr="00F27F5F" w:rsidRDefault="0030601D" w:rsidP="00365A16">
            <w:pPr>
              <w:spacing w:after="120"/>
            </w:pPr>
            <w:r>
              <w:t>72,700</w:t>
            </w:r>
          </w:p>
        </w:tc>
        <w:tc>
          <w:tcPr>
            <w:tcW w:w="1268" w:type="dxa"/>
          </w:tcPr>
          <w:p w:rsidR="0030601D" w:rsidRPr="00F27F5F" w:rsidRDefault="0030601D" w:rsidP="00365A16">
            <w:pPr>
              <w:spacing w:after="120"/>
            </w:pPr>
            <w:r>
              <w:t>42,700</w:t>
            </w:r>
          </w:p>
        </w:tc>
      </w:tr>
      <w:tr w:rsidR="0030601D" w:rsidRPr="00F27F5F" w:rsidTr="00A8402D">
        <w:tc>
          <w:tcPr>
            <w:tcW w:w="2198" w:type="dxa"/>
          </w:tcPr>
          <w:p w:rsidR="0030601D" w:rsidRPr="00F27F5F" w:rsidRDefault="0030601D" w:rsidP="00365A16">
            <w:pPr>
              <w:spacing w:after="120"/>
            </w:pPr>
            <w:r>
              <w:t>Adjusted closing balance</w:t>
            </w:r>
          </w:p>
        </w:tc>
        <w:tc>
          <w:tcPr>
            <w:tcW w:w="1277" w:type="dxa"/>
          </w:tcPr>
          <w:p w:rsidR="0030601D" w:rsidRPr="00F27F5F" w:rsidRDefault="0030601D" w:rsidP="00365A16">
            <w:pPr>
              <w:spacing w:after="120"/>
            </w:pPr>
            <w:r>
              <w:t>78,950</w:t>
            </w:r>
          </w:p>
        </w:tc>
        <w:tc>
          <w:tcPr>
            <w:tcW w:w="1268" w:type="dxa"/>
          </w:tcPr>
          <w:p w:rsidR="0030601D" w:rsidRPr="00F27F5F" w:rsidRDefault="0030601D" w:rsidP="00365A16">
            <w:pPr>
              <w:spacing w:after="120"/>
            </w:pPr>
            <w:r>
              <w:t>102,700</w:t>
            </w:r>
          </w:p>
        </w:tc>
        <w:tc>
          <w:tcPr>
            <w:tcW w:w="1268" w:type="dxa"/>
          </w:tcPr>
          <w:p w:rsidR="0030601D" w:rsidRPr="00F27F5F" w:rsidRDefault="0030601D" w:rsidP="00365A16">
            <w:pPr>
              <w:spacing w:after="120"/>
            </w:pPr>
            <w:r>
              <w:t>72,700</w:t>
            </w:r>
          </w:p>
        </w:tc>
        <w:tc>
          <w:tcPr>
            <w:tcW w:w="1268" w:type="dxa"/>
          </w:tcPr>
          <w:p w:rsidR="0030601D" w:rsidRPr="00F27F5F" w:rsidRDefault="0030601D" w:rsidP="00365A16">
            <w:pPr>
              <w:spacing w:after="120"/>
            </w:pPr>
            <w:r>
              <w:t>42,700</w:t>
            </w:r>
          </w:p>
        </w:tc>
      </w:tr>
    </w:tbl>
    <w:p w:rsidR="00365A16" w:rsidRDefault="00365A16" w:rsidP="00365A16">
      <w:pPr>
        <w:spacing w:after="120"/>
      </w:pPr>
    </w:p>
    <w:p w:rsidR="000A75AB" w:rsidRDefault="000A75AB" w:rsidP="00365A16">
      <w:pPr>
        <w:spacing w:after="120"/>
      </w:pPr>
      <w:r>
        <w:t>John Taylor</w:t>
      </w:r>
    </w:p>
    <w:p w:rsidR="001C446C" w:rsidRDefault="001C446C" w:rsidP="00365A16">
      <w:pPr>
        <w:spacing w:after="120"/>
      </w:pPr>
      <w:r>
        <w:t>Treasurer</w:t>
      </w:r>
    </w:p>
    <w:sectPr w:rsidR="001C446C" w:rsidSect="005F2DA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51A"/>
    <w:multiLevelType w:val="hybridMultilevel"/>
    <w:tmpl w:val="67F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608FF"/>
    <w:multiLevelType w:val="hybridMultilevel"/>
    <w:tmpl w:val="B47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75035"/>
    <w:multiLevelType w:val="hybridMultilevel"/>
    <w:tmpl w:val="841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328A7"/>
    <w:multiLevelType w:val="hybridMultilevel"/>
    <w:tmpl w:val="9F04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01C57"/>
    <w:multiLevelType w:val="hybridMultilevel"/>
    <w:tmpl w:val="E78A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7065"/>
    <w:rsid w:val="00001E08"/>
    <w:rsid w:val="00043974"/>
    <w:rsid w:val="000A1CA4"/>
    <w:rsid w:val="000A75AB"/>
    <w:rsid w:val="000B610C"/>
    <w:rsid w:val="000D5285"/>
    <w:rsid w:val="000E3FB9"/>
    <w:rsid w:val="000E66DF"/>
    <w:rsid w:val="000F1D2E"/>
    <w:rsid w:val="00116856"/>
    <w:rsid w:val="00144C3F"/>
    <w:rsid w:val="001551B5"/>
    <w:rsid w:val="00174323"/>
    <w:rsid w:val="001B70BE"/>
    <w:rsid w:val="001C446C"/>
    <w:rsid w:val="001D61DB"/>
    <w:rsid w:val="001E5870"/>
    <w:rsid w:val="00200ACC"/>
    <w:rsid w:val="00265B99"/>
    <w:rsid w:val="0028427F"/>
    <w:rsid w:val="002955DE"/>
    <w:rsid w:val="002B3D09"/>
    <w:rsid w:val="0030601D"/>
    <w:rsid w:val="00365A16"/>
    <w:rsid w:val="003A3827"/>
    <w:rsid w:val="003A4C7B"/>
    <w:rsid w:val="003D749C"/>
    <w:rsid w:val="00406769"/>
    <w:rsid w:val="0044556A"/>
    <w:rsid w:val="004526C7"/>
    <w:rsid w:val="004559B4"/>
    <w:rsid w:val="0046252B"/>
    <w:rsid w:val="00467051"/>
    <w:rsid w:val="0046740B"/>
    <w:rsid w:val="00491372"/>
    <w:rsid w:val="004B6E89"/>
    <w:rsid w:val="004D7C06"/>
    <w:rsid w:val="00542A3E"/>
    <w:rsid w:val="005526FE"/>
    <w:rsid w:val="005577B4"/>
    <w:rsid w:val="00565674"/>
    <w:rsid w:val="005A6DB7"/>
    <w:rsid w:val="005D20E6"/>
    <w:rsid w:val="005F2694"/>
    <w:rsid w:val="005F2DA0"/>
    <w:rsid w:val="00626DB0"/>
    <w:rsid w:val="006302CD"/>
    <w:rsid w:val="0069062B"/>
    <w:rsid w:val="0069712C"/>
    <w:rsid w:val="006E462D"/>
    <w:rsid w:val="006F1FCE"/>
    <w:rsid w:val="006F3851"/>
    <w:rsid w:val="006F7065"/>
    <w:rsid w:val="007467B6"/>
    <w:rsid w:val="007B3EA7"/>
    <w:rsid w:val="007D3441"/>
    <w:rsid w:val="0080053C"/>
    <w:rsid w:val="0080434B"/>
    <w:rsid w:val="00843DA0"/>
    <w:rsid w:val="00855E53"/>
    <w:rsid w:val="00864807"/>
    <w:rsid w:val="00871F64"/>
    <w:rsid w:val="008730A3"/>
    <w:rsid w:val="00877964"/>
    <w:rsid w:val="008D4E94"/>
    <w:rsid w:val="00936296"/>
    <w:rsid w:val="00940A9D"/>
    <w:rsid w:val="009724DE"/>
    <w:rsid w:val="00997DA1"/>
    <w:rsid w:val="009A4412"/>
    <w:rsid w:val="009C0442"/>
    <w:rsid w:val="009C198C"/>
    <w:rsid w:val="009D4E22"/>
    <w:rsid w:val="009D5A6B"/>
    <w:rsid w:val="009E2CEB"/>
    <w:rsid w:val="009E4151"/>
    <w:rsid w:val="00A30F40"/>
    <w:rsid w:val="00A36C30"/>
    <w:rsid w:val="00A4039D"/>
    <w:rsid w:val="00A4236F"/>
    <w:rsid w:val="00A73BCC"/>
    <w:rsid w:val="00A8402D"/>
    <w:rsid w:val="00AB1A98"/>
    <w:rsid w:val="00AB62B7"/>
    <w:rsid w:val="00AC406A"/>
    <w:rsid w:val="00B106B1"/>
    <w:rsid w:val="00B3095A"/>
    <w:rsid w:val="00B42A7F"/>
    <w:rsid w:val="00B436C9"/>
    <w:rsid w:val="00B536DA"/>
    <w:rsid w:val="00B92250"/>
    <w:rsid w:val="00B93A07"/>
    <w:rsid w:val="00B94D59"/>
    <w:rsid w:val="00BB1336"/>
    <w:rsid w:val="00BC26BE"/>
    <w:rsid w:val="00C11D94"/>
    <w:rsid w:val="00C64E74"/>
    <w:rsid w:val="00C7766B"/>
    <w:rsid w:val="00C77B56"/>
    <w:rsid w:val="00CC17F3"/>
    <w:rsid w:val="00CF4E0E"/>
    <w:rsid w:val="00D07C27"/>
    <w:rsid w:val="00D103D4"/>
    <w:rsid w:val="00D11400"/>
    <w:rsid w:val="00D22D4B"/>
    <w:rsid w:val="00D23A97"/>
    <w:rsid w:val="00DF514E"/>
    <w:rsid w:val="00E13F43"/>
    <w:rsid w:val="00E3061A"/>
    <w:rsid w:val="00E43FAB"/>
    <w:rsid w:val="00E6158A"/>
    <w:rsid w:val="00E81BA1"/>
    <w:rsid w:val="00EB6428"/>
    <w:rsid w:val="00EC771A"/>
    <w:rsid w:val="00ED5BB0"/>
    <w:rsid w:val="00F07A36"/>
    <w:rsid w:val="00F113BB"/>
    <w:rsid w:val="00F25AB1"/>
    <w:rsid w:val="00F27F5F"/>
    <w:rsid w:val="00F35857"/>
    <w:rsid w:val="00F44E45"/>
    <w:rsid w:val="00F5254B"/>
    <w:rsid w:val="00F81388"/>
    <w:rsid w:val="00FA0942"/>
    <w:rsid w:val="00FA74DD"/>
    <w:rsid w:val="00FB16AA"/>
    <w:rsid w:val="00FB5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2B"/>
    <w:pPr>
      <w:ind w:left="720"/>
      <w:contextualSpacing/>
    </w:pPr>
  </w:style>
  <w:style w:type="table" w:styleId="TableGrid">
    <w:name w:val="Table Grid"/>
    <w:basedOn w:val="TableNormal"/>
    <w:uiPriority w:val="59"/>
    <w:rsid w:val="006F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2B"/>
    <w:pPr>
      <w:ind w:left="720"/>
      <w:contextualSpacing/>
    </w:pPr>
  </w:style>
  <w:style w:type="table" w:styleId="TableGrid">
    <w:name w:val="Table Grid"/>
    <w:basedOn w:val="TableNormal"/>
    <w:uiPriority w:val="59"/>
    <w:rsid w:val="006F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change management associates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Graham</cp:lastModifiedBy>
  <cp:revision>2</cp:revision>
  <dcterms:created xsi:type="dcterms:W3CDTF">2019-10-13T14:47:00Z</dcterms:created>
  <dcterms:modified xsi:type="dcterms:W3CDTF">2019-10-13T14:47:00Z</dcterms:modified>
</cp:coreProperties>
</file>